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关键词：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EDTA-Ca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,CAS </w:t>
      </w:r>
      <w:r>
        <w:rPr>
          <w:rFonts w:hint="eastAsia" w:ascii="宋体" w:hAnsi="宋体" w:eastAsia="宋体" w:cs="宋体"/>
          <w:sz w:val="24"/>
          <w:szCs w:val="24"/>
        </w:rPr>
        <w:t>23411-34-9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Calcium disodium edetate dihydrate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标题：</w:t>
      </w:r>
      <w:r>
        <w:rPr>
          <w:rFonts w:hint="eastAsia" w:ascii="宋体" w:hAnsi="宋体" w:eastAsia="宋体" w:cs="宋体"/>
          <w:sz w:val="24"/>
          <w:szCs w:val="24"/>
        </w:rPr>
        <w:t>EDTA-Ca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CAS </w:t>
      </w:r>
      <w:r>
        <w:rPr>
          <w:rFonts w:hint="eastAsia" w:ascii="宋体" w:hAnsi="宋体" w:eastAsia="宋体" w:cs="宋体"/>
          <w:sz w:val="24"/>
          <w:szCs w:val="24"/>
        </w:rPr>
        <w:t>23411-34-9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Calcium disodium edetate dihydrate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分组：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vertAlign w:val="baseline"/>
        </w:rPr>
        <w:t>organic chemistry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short description of</w:t>
      </w: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EDTA-Ca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vertAlign w:val="baseline"/>
          <w:lang w:val="en-US" w:eastAsia="zh-CN"/>
        </w:rPr>
        <w:t>CAS:</w:t>
      </w:r>
      <w:r>
        <w:rPr>
          <w:rFonts w:hint="eastAsia" w:ascii="宋体" w:hAnsi="宋体" w:eastAsia="宋体" w:cs="宋体"/>
          <w:sz w:val="24"/>
          <w:szCs w:val="24"/>
        </w:rPr>
        <w:t>23411-34-9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synonyms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Calciumdisodiumethylenediaminetetraacetatehydrate;ETHYLENEDIAMINETETRAACETICACIDCALCIUMDISO-SALTHYDRATE;EDTA.CaNa2.2H2O;CALCIUMDISODIUMEDTA,FCC;EDETATECALCIUMDISODIUM,USP;EthylenedChemicalbookiaminetetraaceticacidhydratecalciumdisodiumsalt;Calciate(2-),((N,N'-1,2-ethanediylbis(N-(carboxymethyl)glycinato))(4-)-N,N',o,o',on,on')-,disodium,hydrate,(oc-6-21)-;Unii-25ih6R4sgf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EINECS:</w:t>
      </w:r>
      <w:r>
        <w:rPr>
          <w:rFonts w:ascii="宋体" w:hAnsi="宋体" w:eastAsia="宋体" w:cs="宋体"/>
          <w:sz w:val="24"/>
          <w:szCs w:val="24"/>
        </w:rPr>
        <w:t>607-231-1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Brand Name:Unilong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Place of Origin:Shandong, China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Purity:99%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Product name:EDTA-Ca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Packing:</w:t>
      </w:r>
      <w:r>
        <w:rPr>
          <w:rFonts w:ascii="宋体" w:hAnsi="宋体" w:eastAsia="宋体" w:cs="宋体"/>
          <w:sz w:val="24"/>
          <w:szCs w:val="24"/>
        </w:rPr>
        <w:t>25kgs/drum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Delivery:Immediately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MF：</w:t>
      </w:r>
      <w:r>
        <w:rPr>
          <w:rFonts w:ascii="宋体" w:hAnsi="宋体" w:eastAsia="宋体" w:cs="宋体"/>
          <w:sz w:val="24"/>
          <w:szCs w:val="24"/>
        </w:rPr>
        <w:t>C10H14CaN2NaO9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MW:</w:t>
      </w:r>
      <w:r>
        <w:rPr>
          <w:rFonts w:ascii="宋体" w:hAnsi="宋体" w:eastAsia="宋体" w:cs="宋体"/>
          <w:sz w:val="24"/>
          <w:szCs w:val="24"/>
        </w:rPr>
        <w:t>369.3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What is </w:t>
      </w: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EDTA-Ca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White crystalline particles or white to off-white powder. Odorless. Slightly salty. Slightly hygroscopic. Stable in air. soluble in water. Almost insoluble in ethanol.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Specification of </w:t>
      </w: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EDTA-Ca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ED7D31" w:themeColor="accent2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  <w:t>CAS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ED7D31" w:themeColor="accent2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</w:rPr>
              <w:t>23411-34-9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Other Names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Calcium disodium edetate dihydrate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EINECS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607-231-1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Appearance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White powder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Purity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Color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Storage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Cool Dried 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Package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25kgs/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Application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Chelating agent; Preservatives; antioxidants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ED7D31" w:themeColor="accent2"/>
          <w:spacing w:val="0"/>
          <w:sz w:val="28"/>
          <w:szCs w:val="28"/>
          <w:shd w:val="clear" w:fill="FFFFFF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Application of </w:t>
      </w: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EDTA-Ca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Chelating agents; preservatives; antioxidants (prevent oxidation by chelation). It has the effect of stabilizing product quality by combining with free metal;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Used to eliminate the inhibition of enzyme-catalyzed reactions caused by trace heavy metals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ED7D31" w:themeColor="accent2"/>
          <w:spacing w:val="0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D7D31" w:themeColor="accent2"/>
          <w:spacing w:val="0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Packing </w:t>
      </w: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of </w:t>
      </w: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EDTA-Ca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09"/>
        </w:tabs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25kgs/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bag</w:t>
      </w:r>
      <w:r>
        <w:rPr>
          <w:rFonts w:ascii="宋体" w:hAnsi="宋体" w:eastAsia="宋体" w:cs="宋体"/>
          <w:sz w:val="24"/>
          <w:szCs w:val="24"/>
        </w:rPr>
        <w:t>,9tons/20’container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09"/>
        </w:tabs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09"/>
        </w:tabs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357120" cy="2357120"/>
            <wp:effectExtent l="0" t="0" r="5080" b="5080"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1904365" cy="1904365"/>
            <wp:effectExtent l="0" t="0" r="635" b="635"/>
            <wp:docPr id="4" name="图片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480" w:firstLineChars="20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EDTA-Ca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-1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EDTA-Ca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1686CC"/>
          <w:spacing w:val="0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83EB2"/>
    <w:rsid w:val="01C81F7D"/>
    <w:rsid w:val="02A12C84"/>
    <w:rsid w:val="05110760"/>
    <w:rsid w:val="056D55F6"/>
    <w:rsid w:val="063240BA"/>
    <w:rsid w:val="07347C5A"/>
    <w:rsid w:val="077376FE"/>
    <w:rsid w:val="098F153E"/>
    <w:rsid w:val="0B067FEE"/>
    <w:rsid w:val="0E581497"/>
    <w:rsid w:val="0F8A728A"/>
    <w:rsid w:val="16363F00"/>
    <w:rsid w:val="16880487"/>
    <w:rsid w:val="17086710"/>
    <w:rsid w:val="182D65B9"/>
    <w:rsid w:val="19C7635B"/>
    <w:rsid w:val="1B3A29C7"/>
    <w:rsid w:val="1C454170"/>
    <w:rsid w:val="1EFE2DF0"/>
    <w:rsid w:val="214D1B80"/>
    <w:rsid w:val="21760275"/>
    <w:rsid w:val="23524303"/>
    <w:rsid w:val="25444AB3"/>
    <w:rsid w:val="259C2BAB"/>
    <w:rsid w:val="25D900E5"/>
    <w:rsid w:val="283800A8"/>
    <w:rsid w:val="2B4A1E95"/>
    <w:rsid w:val="3099554A"/>
    <w:rsid w:val="342844A1"/>
    <w:rsid w:val="343401E9"/>
    <w:rsid w:val="346267C3"/>
    <w:rsid w:val="38213B52"/>
    <w:rsid w:val="399C2315"/>
    <w:rsid w:val="3DBC52D8"/>
    <w:rsid w:val="3DF675F9"/>
    <w:rsid w:val="3F742EB0"/>
    <w:rsid w:val="3F946D43"/>
    <w:rsid w:val="425573D5"/>
    <w:rsid w:val="434268E8"/>
    <w:rsid w:val="46E25ADA"/>
    <w:rsid w:val="4A8A32CC"/>
    <w:rsid w:val="50F13A04"/>
    <w:rsid w:val="529C6ED8"/>
    <w:rsid w:val="532D11DF"/>
    <w:rsid w:val="55B36828"/>
    <w:rsid w:val="56864602"/>
    <w:rsid w:val="580A21FF"/>
    <w:rsid w:val="58122FAA"/>
    <w:rsid w:val="5893711C"/>
    <w:rsid w:val="58C866AF"/>
    <w:rsid w:val="59350E0C"/>
    <w:rsid w:val="5A201EE4"/>
    <w:rsid w:val="5CD06C55"/>
    <w:rsid w:val="5D866432"/>
    <w:rsid w:val="61C86CA3"/>
    <w:rsid w:val="62C72465"/>
    <w:rsid w:val="62D665B5"/>
    <w:rsid w:val="63A067F8"/>
    <w:rsid w:val="63F71F10"/>
    <w:rsid w:val="666856EE"/>
    <w:rsid w:val="66EE1D76"/>
    <w:rsid w:val="67183EB2"/>
    <w:rsid w:val="68DF491C"/>
    <w:rsid w:val="6AB91C24"/>
    <w:rsid w:val="6AE4314B"/>
    <w:rsid w:val="6C4F6842"/>
    <w:rsid w:val="723A7E4E"/>
    <w:rsid w:val="758672DF"/>
    <w:rsid w:val="7A993FCB"/>
    <w:rsid w:val="7C4B5F60"/>
    <w:rsid w:val="7D8C4AD4"/>
    <w:rsid w:val="7E4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2022-07-11T01:34:00Z</dcterms:created>
  <dc:creator>WPS_1649749007</dc:creator>
  <cp:lastModifiedBy>WPS_1649749007</cp:lastModifiedBy>
  <dcterms:modified xsi:type="dcterms:W3CDTF">2022-07-21T06:24:38Z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6887A09017854D02ABD875FAC02B4F75</vt:lpwstr>
  </property>
</Properties>
</file>